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0A28" w:rsidRPr="00934FA3" w:rsidRDefault="00751B16" w:rsidP="00751B16">
      <w:pPr>
        <w:pStyle w:val="Heading1"/>
        <w:rPr>
          <w:rFonts w:ascii="Segoe UI Black" w:hAnsi="Segoe UI Black"/>
          <w:b/>
          <w:color w:val="auto"/>
          <w:sz w:val="52"/>
        </w:rPr>
      </w:pPr>
      <w:bookmarkStart w:id="0" w:name="_GoBack"/>
      <w:bookmarkEnd w:id="0"/>
      <w:r w:rsidRPr="00934FA3">
        <w:rPr>
          <w:rFonts w:ascii="Segoe UI Black" w:hAnsi="Segoe UI Black"/>
          <w:b/>
          <w:color w:val="auto"/>
          <w:sz w:val="52"/>
        </w:rPr>
        <w:t>Section 3.36 Planning Report</w:t>
      </w:r>
    </w:p>
    <w:p w:rsidR="00751B16" w:rsidRDefault="00751B16"/>
    <w:p w:rsidR="00751B16" w:rsidRPr="00BC409D" w:rsidRDefault="00751B16" w:rsidP="00751B16">
      <w:pPr>
        <w:pStyle w:val="Heading2"/>
        <w:rPr>
          <w:rFonts w:ascii="Franklin Gothic Book" w:hAnsi="Franklin Gothic Book" w:cstheme="minorHAnsi"/>
          <w:b/>
          <w:sz w:val="28"/>
        </w:rPr>
      </w:pPr>
      <w:r w:rsidRPr="00BC409D">
        <w:rPr>
          <w:rFonts w:ascii="Franklin Gothic Book" w:hAnsi="Franklin Gothic Book" w:cstheme="minorHAnsi"/>
          <w:b/>
          <w:sz w:val="28"/>
        </w:rPr>
        <w:t>Planning Proposal details</w:t>
      </w:r>
    </w:p>
    <w:p w:rsidR="00751B16" w:rsidRDefault="004109CB">
      <w:r>
        <w:rPr>
          <w:rFonts w:ascii="Segoe UI" w:hAnsi="Segoe UI" w:cs="Segoe UI"/>
          <w:color w:val="212529"/>
          <w:shd w:val="clear" w:color="auto" w:fill="FFFFFF"/>
        </w:rPr>
        <w:t xml:space="preserve">PP_2018_ORANG_003_00 </w:t>
      </w:r>
      <w:r>
        <w:t>to amend Orange Local Environmental Plan 2011 to add ‘Artisan food and drink industry’ as a permissible use in certain business zones</w:t>
      </w:r>
    </w:p>
    <w:p w:rsidR="00751B16" w:rsidRPr="00BC409D" w:rsidRDefault="00751B16" w:rsidP="00751B16">
      <w:pPr>
        <w:pStyle w:val="Heading2"/>
        <w:rPr>
          <w:rFonts w:ascii="Franklin Gothic Book" w:hAnsi="Franklin Gothic Book" w:cstheme="minorHAnsi"/>
          <w:b/>
          <w:sz w:val="28"/>
        </w:rPr>
      </w:pPr>
      <w:r w:rsidRPr="00BC409D">
        <w:rPr>
          <w:rFonts w:ascii="Franklin Gothic Book" w:hAnsi="Franklin Gothic Book" w:cstheme="minorHAnsi"/>
          <w:b/>
          <w:sz w:val="28"/>
        </w:rPr>
        <w:t>Planning Proposal summary</w:t>
      </w:r>
    </w:p>
    <w:p w:rsidR="00920CB5" w:rsidRDefault="000956C5">
      <w:r>
        <w:t>Addition of ‘Artisan food and drink industry’ as a permissible use in certain business zones</w:t>
      </w:r>
    </w:p>
    <w:p w:rsidR="00BC409D" w:rsidRPr="00BC409D" w:rsidRDefault="00751B16" w:rsidP="00BC409D">
      <w:pPr>
        <w:pStyle w:val="Heading2"/>
        <w:rPr>
          <w:b/>
          <w:sz w:val="28"/>
        </w:rPr>
      </w:pPr>
      <w:r w:rsidRPr="00BC409D">
        <w:rPr>
          <w:rFonts w:ascii="Franklin Gothic Book" w:hAnsi="Franklin Gothic Book" w:cstheme="minorHAnsi"/>
          <w:b/>
          <w:sz w:val="28"/>
        </w:rPr>
        <w:t>Date of Gateway determination</w:t>
      </w:r>
    </w:p>
    <w:p w:rsidR="00BC409D" w:rsidRPr="00BC409D" w:rsidRDefault="000956C5" w:rsidP="00BC409D">
      <w:r>
        <w:t>16 November 2018</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BC409D" w:rsidTr="00BC409D">
        <w:tc>
          <w:tcPr>
            <w:tcW w:w="9350" w:type="dxa"/>
            <w:tcBorders>
              <w:bottom w:val="single" w:sz="18" w:space="0" w:color="5B9BD5" w:themeColor="accent1"/>
            </w:tcBorders>
          </w:tcPr>
          <w:p w:rsidR="00BC409D" w:rsidRDefault="00BC409D"/>
        </w:tc>
      </w:tr>
    </w:tbl>
    <w:p w:rsidR="00751B16" w:rsidRDefault="00751B16"/>
    <w:p w:rsidR="00751B16" w:rsidRPr="00BC409D" w:rsidRDefault="00751B16" w:rsidP="00751B16">
      <w:pPr>
        <w:pStyle w:val="Heading2"/>
        <w:numPr>
          <w:ilvl w:val="0"/>
          <w:numId w:val="2"/>
        </w:numPr>
        <w:rPr>
          <w:rFonts w:ascii="Franklin Gothic Book" w:hAnsi="Franklin Gothic Book" w:cstheme="minorHAnsi"/>
          <w:b/>
          <w:sz w:val="28"/>
        </w:rPr>
      </w:pPr>
      <w:r w:rsidRPr="00BC409D">
        <w:rPr>
          <w:rFonts w:ascii="Franklin Gothic Book" w:hAnsi="Franklin Gothic Book" w:cstheme="minorHAnsi"/>
          <w:b/>
          <w:sz w:val="28"/>
        </w:rPr>
        <w:t>Summary</w:t>
      </w:r>
    </w:p>
    <w:p w:rsidR="00554544" w:rsidRDefault="00554544" w:rsidP="0020020D">
      <w:pPr>
        <w:spacing w:after="0"/>
        <w:rPr>
          <w:b/>
        </w:rPr>
      </w:pPr>
      <w:r>
        <w:rPr>
          <w:b/>
        </w:rPr>
        <w:t>Overview of proposed changes:</w:t>
      </w:r>
    </w:p>
    <w:p w:rsidR="00554544" w:rsidRPr="00554544" w:rsidRDefault="00DC7B16" w:rsidP="00751B16">
      <w:r>
        <w:t>Insert ‘Artisan food and drink industry’ as a permissible use in the B1, B2, B3 and B4 zones.</w:t>
      </w:r>
    </w:p>
    <w:p w:rsidR="00554544" w:rsidRDefault="00554544" w:rsidP="0020020D">
      <w:pPr>
        <w:spacing w:after="0"/>
        <w:rPr>
          <w:b/>
        </w:rPr>
      </w:pPr>
      <w:r w:rsidRPr="00554544">
        <w:rPr>
          <w:b/>
        </w:rPr>
        <w:t>Background</w:t>
      </w:r>
      <w:r>
        <w:rPr>
          <w:b/>
        </w:rPr>
        <w:t xml:space="preserve"> / Rationale</w:t>
      </w:r>
      <w:r w:rsidRPr="00554544">
        <w:rPr>
          <w:b/>
        </w:rPr>
        <w:t>:</w:t>
      </w:r>
    </w:p>
    <w:p w:rsidR="00554544" w:rsidRDefault="00DC7B16" w:rsidP="00751B16">
      <w:r>
        <w:lastRenderedPageBreak/>
        <w:t>Orange wishes to encourage the artisan food and drink industry, consistent with the reputation of Orange as a food destination. Enabling this use in the zones mentioned will further encourage a range of boutique and niche providers. By default the use was enabled in zones where light industry is permissible, however this does align well with tourism benefit that many artisan establishments seek to capitalise on.</w:t>
      </w:r>
    </w:p>
    <w:p w:rsidR="0020020D" w:rsidRPr="0020020D" w:rsidRDefault="0020020D" w:rsidP="0020020D">
      <w:pPr>
        <w:spacing w:after="0"/>
        <w:rPr>
          <w:b/>
        </w:rPr>
      </w:pPr>
      <w:r w:rsidRPr="0020020D">
        <w:rPr>
          <w:b/>
        </w:rPr>
        <w:t>Consultation / Exhibition</w:t>
      </w:r>
      <w:r>
        <w:rPr>
          <w:b/>
        </w:rPr>
        <w:t>:</w:t>
      </w:r>
    </w:p>
    <w:tbl>
      <w:tblPr>
        <w:tblStyle w:val="TableGrid"/>
        <w:tblW w:w="0" w:type="auto"/>
        <w:tblInd w:w="567" w:type="dxa"/>
        <w:tblLook w:val="04A0" w:firstRow="1" w:lastRow="0" w:firstColumn="1" w:lastColumn="0" w:noHBand="0" w:noVBand="1"/>
      </w:tblPr>
      <w:tblGrid>
        <w:gridCol w:w="2128"/>
        <w:gridCol w:w="1982"/>
        <w:gridCol w:w="1985"/>
        <w:gridCol w:w="1985"/>
      </w:tblGrid>
      <w:tr w:rsidR="0020020D" w:rsidTr="0020020D">
        <w:tc>
          <w:tcPr>
            <w:tcW w:w="2128" w:type="dxa"/>
            <w:tcBorders>
              <w:top w:val="nil"/>
              <w:left w:val="nil"/>
              <w:bottom w:val="nil"/>
              <w:right w:val="nil"/>
            </w:tcBorders>
          </w:tcPr>
          <w:p w:rsidR="0020020D" w:rsidRDefault="0020020D" w:rsidP="00751B16"/>
        </w:tc>
        <w:tc>
          <w:tcPr>
            <w:tcW w:w="1982" w:type="dxa"/>
            <w:tcBorders>
              <w:top w:val="nil"/>
              <w:left w:val="nil"/>
              <w:bottom w:val="single" w:sz="4" w:space="0" w:color="auto"/>
              <w:right w:val="single" w:sz="4" w:space="0" w:color="auto"/>
            </w:tcBorders>
          </w:tcPr>
          <w:p w:rsidR="0020020D" w:rsidRDefault="0020020D" w:rsidP="00065339">
            <w:pPr>
              <w:jc w:val="center"/>
            </w:pPr>
            <w:r>
              <w:t>From</w:t>
            </w:r>
          </w:p>
        </w:tc>
        <w:tc>
          <w:tcPr>
            <w:tcW w:w="1985" w:type="dxa"/>
            <w:tcBorders>
              <w:top w:val="nil"/>
              <w:left w:val="single" w:sz="4" w:space="0" w:color="auto"/>
              <w:bottom w:val="single" w:sz="4" w:space="0" w:color="auto"/>
              <w:right w:val="nil"/>
            </w:tcBorders>
          </w:tcPr>
          <w:p w:rsidR="0020020D" w:rsidRDefault="0020020D" w:rsidP="00065339">
            <w:pPr>
              <w:jc w:val="center"/>
            </w:pPr>
            <w:r>
              <w:t>To</w:t>
            </w:r>
          </w:p>
        </w:tc>
        <w:tc>
          <w:tcPr>
            <w:tcW w:w="1985" w:type="dxa"/>
            <w:tcBorders>
              <w:top w:val="nil"/>
              <w:left w:val="single" w:sz="4" w:space="0" w:color="auto"/>
              <w:bottom w:val="single" w:sz="4" w:space="0" w:color="auto"/>
              <w:right w:val="nil"/>
            </w:tcBorders>
          </w:tcPr>
          <w:p w:rsidR="0020020D" w:rsidRDefault="0020020D" w:rsidP="00065339">
            <w:pPr>
              <w:jc w:val="center"/>
            </w:pPr>
            <w:r>
              <w:t xml:space="preserve"># Responses </w:t>
            </w:r>
          </w:p>
        </w:tc>
      </w:tr>
      <w:tr w:rsidR="0020020D" w:rsidTr="0020020D">
        <w:tc>
          <w:tcPr>
            <w:tcW w:w="2128" w:type="dxa"/>
            <w:tcBorders>
              <w:top w:val="nil"/>
              <w:left w:val="nil"/>
              <w:bottom w:val="nil"/>
              <w:right w:val="nil"/>
            </w:tcBorders>
          </w:tcPr>
          <w:p w:rsidR="0020020D" w:rsidRDefault="0020020D" w:rsidP="00065339">
            <w:pPr>
              <w:jc w:val="right"/>
            </w:pPr>
            <w:r>
              <w:t>Agency consultation:</w:t>
            </w:r>
          </w:p>
        </w:tc>
        <w:tc>
          <w:tcPr>
            <w:tcW w:w="1982" w:type="dxa"/>
            <w:tcBorders>
              <w:top w:val="single" w:sz="4" w:space="0" w:color="auto"/>
              <w:left w:val="nil"/>
              <w:bottom w:val="nil"/>
              <w:right w:val="single" w:sz="4" w:space="0" w:color="auto"/>
            </w:tcBorders>
          </w:tcPr>
          <w:p w:rsidR="0020020D" w:rsidRDefault="0020020D" w:rsidP="00751B16"/>
        </w:tc>
        <w:tc>
          <w:tcPr>
            <w:tcW w:w="1985" w:type="dxa"/>
            <w:tcBorders>
              <w:top w:val="single" w:sz="4" w:space="0" w:color="auto"/>
              <w:left w:val="single" w:sz="4" w:space="0" w:color="auto"/>
              <w:bottom w:val="nil"/>
              <w:right w:val="nil"/>
            </w:tcBorders>
          </w:tcPr>
          <w:p w:rsidR="0020020D" w:rsidRDefault="0020020D" w:rsidP="00751B16"/>
        </w:tc>
        <w:tc>
          <w:tcPr>
            <w:tcW w:w="1985" w:type="dxa"/>
            <w:tcBorders>
              <w:top w:val="single" w:sz="4" w:space="0" w:color="auto"/>
              <w:left w:val="single" w:sz="4" w:space="0" w:color="auto"/>
              <w:bottom w:val="nil"/>
              <w:right w:val="nil"/>
            </w:tcBorders>
          </w:tcPr>
          <w:p w:rsidR="0020020D" w:rsidRDefault="0020020D" w:rsidP="00751B16"/>
        </w:tc>
      </w:tr>
      <w:tr w:rsidR="0020020D" w:rsidTr="0020020D">
        <w:tc>
          <w:tcPr>
            <w:tcW w:w="2128" w:type="dxa"/>
            <w:tcBorders>
              <w:top w:val="nil"/>
              <w:left w:val="nil"/>
              <w:bottom w:val="nil"/>
              <w:right w:val="nil"/>
            </w:tcBorders>
          </w:tcPr>
          <w:p w:rsidR="0020020D" w:rsidRDefault="0020020D" w:rsidP="00065339">
            <w:pPr>
              <w:jc w:val="right"/>
            </w:pPr>
            <w:r>
              <w:t>Public exhibition:</w:t>
            </w:r>
          </w:p>
        </w:tc>
        <w:tc>
          <w:tcPr>
            <w:tcW w:w="1982" w:type="dxa"/>
            <w:tcBorders>
              <w:top w:val="nil"/>
              <w:left w:val="nil"/>
              <w:bottom w:val="nil"/>
              <w:right w:val="single" w:sz="4" w:space="0" w:color="auto"/>
            </w:tcBorders>
          </w:tcPr>
          <w:p w:rsidR="0020020D" w:rsidRDefault="00854A63" w:rsidP="00854A63">
            <w:pPr>
              <w:jc w:val="center"/>
            </w:pPr>
            <w:r>
              <w:t>14 December 2018</w:t>
            </w:r>
          </w:p>
        </w:tc>
        <w:tc>
          <w:tcPr>
            <w:tcW w:w="1985" w:type="dxa"/>
            <w:tcBorders>
              <w:top w:val="nil"/>
              <w:left w:val="single" w:sz="4" w:space="0" w:color="auto"/>
              <w:bottom w:val="nil"/>
              <w:right w:val="nil"/>
            </w:tcBorders>
          </w:tcPr>
          <w:p w:rsidR="0020020D" w:rsidRDefault="00854A63" w:rsidP="00854A63">
            <w:pPr>
              <w:jc w:val="center"/>
            </w:pPr>
            <w:r>
              <w:t>4 February 2019</w:t>
            </w:r>
          </w:p>
        </w:tc>
        <w:tc>
          <w:tcPr>
            <w:tcW w:w="1985" w:type="dxa"/>
            <w:tcBorders>
              <w:top w:val="nil"/>
              <w:left w:val="single" w:sz="4" w:space="0" w:color="auto"/>
              <w:bottom w:val="nil"/>
              <w:right w:val="nil"/>
            </w:tcBorders>
          </w:tcPr>
          <w:p w:rsidR="0020020D" w:rsidRDefault="00854A63" w:rsidP="00854A63">
            <w:pPr>
              <w:jc w:val="center"/>
            </w:pPr>
            <w:r>
              <w:t>1</w:t>
            </w:r>
          </w:p>
        </w:tc>
      </w:tr>
      <w:tr w:rsidR="00632F90" w:rsidTr="00E464A6">
        <w:tc>
          <w:tcPr>
            <w:tcW w:w="2128" w:type="dxa"/>
            <w:tcBorders>
              <w:top w:val="nil"/>
              <w:left w:val="nil"/>
              <w:bottom w:val="nil"/>
              <w:right w:val="nil"/>
            </w:tcBorders>
          </w:tcPr>
          <w:p w:rsidR="00632F90" w:rsidRDefault="00632F90" w:rsidP="00065339">
            <w:pPr>
              <w:jc w:val="right"/>
            </w:pPr>
            <w:r>
              <w:t>Public Hearing:</w:t>
            </w:r>
          </w:p>
        </w:tc>
        <w:tc>
          <w:tcPr>
            <w:tcW w:w="5952" w:type="dxa"/>
            <w:gridSpan w:val="3"/>
            <w:tcBorders>
              <w:top w:val="nil"/>
              <w:left w:val="nil"/>
              <w:bottom w:val="nil"/>
              <w:right w:val="single" w:sz="4" w:space="0" w:color="auto"/>
            </w:tcBorders>
          </w:tcPr>
          <w:p w:rsidR="00632F90" w:rsidRDefault="00DC7B16" w:rsidP="00751B16">
            <w:r>
              <w:t>N/A</w:t>
            </w:r>
          </w:p>
        </w:tc>
      </w:tr>
    </w:tbl>
    <w:p w:rsidR="00065339" w:rsidRPr="0020020D" w:rsidRDefault="00065339" w:rsidP="0020020D">
      <w:pPr>
        <w:spacing w:after="0"/>
      </w:pPr>
      <w:r w:rsidRPr="0020020D">
        <w:t>Matter</w:t>
      </w:r>
      <w:r w:rsidR="00354F5E" w:rsidRPr="0020020D">
        <w:t>s</w:t>
      </w:r>
      <w:r w:rsidR="0020020D">
        <w:t xml:space="preserve"> raised or arising from agency consultation or public exhibition</w:t>
      </w:r>
      <w:r w:rsidR="00554544" w:rsidRPr="0020020D">
        <w:t>:</w:t>
      </w:r>
    </w:p>
    <w:p w:rsidR="00065339" w:rsidRDefault="00854A63" w:rsidP="00354F5E">
      <w:pPr>
        <w:pStyle w:val="ListParagraph"/>
        <w:numPr>
          <w:ilvl w:val="0"/>
          <w:numId w:val="9"/>
        </w:numPr>
      </w:pPr>
      <w:r>
        <w:t>Potential to fragment the CBD</w:t>
      </w:r>
    </w:p>
    <w:p w:rsidR="00854A63" w:rsidRDefault="00854A63" w:rsidP="00354F5E">
      <w:pPr>
        <w:pStyle w:val="ListParagraph"/>
        <w:numPr>
          <w:ilvl w:val="0"/>
          <w:numId w:val="9"/>
        </w:numPr>
      </w:pPr>
      <w:r>
        <w:t>Require DCP controls in relation to amenity issues</w:t>
      </w:r>
    </w:p>
    <w:p w:rsidR="00854A63" w:rsidRDefault="00854A63" w:rsidP="00354F5E">
      <w:pPr>
        <w:pStyle w:val="ListParagraph"/>
        <w:numPr>
          <w:ilvl w:val="0"/>
          <w:numId w:val="9"/>
        </w:numPr>
      </w:pPr>
      <w:r>
        <w:t>Not appropriate in industrial zones – potential to conflict with industrial uses.</w:t>
      </w:r>
    </w:p>
    <w:p w:rsidR="00554544" w:rsidRPr="00554544" w:rsidRDefault="00554544" w:rsidP="00DE2DDB">
      <w:pPr>
        <w:spacing w:after="0"/>
        <w:rPr>
          <w:b/>
        </w:rPr>
      </w:pPr>
      <w:r w:rsidRPr="00554544">
        <w:rPr>
          <w:b/>
        </w:rPr>
        <w:t>Response to consultation/exhibition:</w:t>
      </w:r>
    </w:p>
    <w:p w:rsidR="00554544" w:rsidRDefault="00126607" w:rsidP="00554544">
      <w:r>
        <w:t>No changes proposed.</w:t>
      </w:r>
    </w:p>
    <w:p w:rsidR="00854A63" w:rsidRDefault="00854A63" w:rsidP="00554544">
      <w:r>
        <w:t>The use is to be permitted in the CBD, market forces are likely to drive such operators to seek a central location and the zones indicated have already been identified for commercial purposes. Amenity protection conditions can be imposed as needed. Zones selected are already intended to be commercial in function. Artisan uses are li</w:t>
      </w:r>
      <w:r w:rsidR="00804F4C">
        <w:t xml:space="preserve">kely to be varied in nature, more industrial variants can be guided toward industrial estates, more tourist oriented variants can be </w:t>
      </w:r>
      <w:r w:rsidR="00804F4C">
        <w:lastRenderedPageBreak/>
        <w:t>accommodated within the CBD and commercial zones which is likely to boost trading performance generally. Restaurant focussed variants are unlikely to seek an industrial zone as the environs would generally deter patronage.</w:t>
      </w:r>
    </w:p>
    <w:p w:rsidR="00354F5E" w:rsidRPr="00354F5E" w:rsidRDefault="00354F5E" w:rsidP="00DE2DDB">
      <w:pPr>
        <w:spacing w:after="0"/>
        <w:rPr>
          <w:b/>
        </w:rPr>
      </w:pPr>
      <w:r w:rsidRPr="00354F5E">
        <w:rPr>
          <w:b/>
        </w:rPr>
        <w:t>Other:</w:t>
      </w:r>
    </w:p>
    <w:p w:rsidR="00EC2D15" w:rsidRDefault="002432FD" w:rsidP="00354F5E">
      <w:r>
        <w:t>Nil</w:t>
      </w:r>
    </w:p>
    <w:p w:rsidR="00751B16" w:rsidRPr="00BC409D" w:rsidRDefault="00751B16" w:rsidP="00751B16">
      <w:pPr>
        <w:pStyle w:val="Heading2"/>
        <w:numPr>
          <w:ilvl w:val="0"/>
          <w:numId w:val="2"/>
        </w:numPr>
        <w:rPr>
          <w:rFonts w:ascii="Franklin Gothic Book" w:hAnsi="Franklin Gothic Book" w:cstheme="minorHAnsi"/>
          <w:b/>
          <w:sz w:val="28"/>
        </w:rPr>
      </w:pPr>
      <w:r w:rsidRPr="00BC409D">
        <w:rPr>
          <w:rFonts w:ascii="Franklin Gothic Book" w:hAnsi="Franklin Gothic Book" w:cstheme="minorHAnsi"/>
          <w:b/>
          <w:sz w:val="28"/>
        </w:rPr>
        <w:t>Gateway Determination</w:t>
      </w:r>
    </w:p>
    <w:tbl>
      <w:tblPr>
        <w:tblStyle w:val="TableGrid"/>
        <w:tblW w:w="0" w:type="auto"/>
        <w:tblLook w:val="04A0" w:firstRow="1" w:lastRow="0" w:firstColumn="1" w:lastColumn="0" w:noHBand="0" w:noVBand="1"/>
      </w:tblPr>
      <w:tblGrid>
        <w:gridCol w:w="1938"/>
        <w:gridCol w:w="2786"/>
        <w:gridCol w:w="1402"/>
        <w:gridCol w:w="3224"/>
      </w:tblGrid>
      <w:tr w:rsidR="001A2F7B" w:rsidTr="002432FD">
        <w:tc>
          <w:tcPr>
            <w:tcW w:w="1963" w:type="dxa"/>
            <w:vMerge w:val="restart"/>
            <w:vAlign w:val="center"/>
          </w:tcPr>
          <w:p w:rsidR="001A2F7B" w:rsidRDefault="001A2F7B" w:rsidP="001A2F7B">
            <w:pPr>
              <w:jc w:val="center"/>
            </w:pPr>
            <w:r>
              <w:t>Departmental Ref:</w:t>
            </w:r>
          </w:p>
        </w:tc>
        <w:tc>
          <w:tcPr>
            <w:tcW w:w="2650" w:type="dxa"/>
            <w:vMerge w:val="restart"/>
            <w:vAlign w:val="center"/>
          </w:tcPr>
          <w:p w:rsidR="001A2F7B" w:rsidRPr="001B5BDE" w:rsidRDefault="00804F4C" w:rsidP="00934FA3">
            <w:pPr>
              <w:rPr>
                <w:b/>
              </w:rPr>
            </w:pPr>
            <w:r w:rsidRPr="001B5BDE">
              <w:rPr>
                <w:rFonts w:ascii="Segoe UI" w:hAnsi="Segoe UI" w:cs="Segoe UI"/>
                <w:b/>
                <w:color w:val="212529"/>
                <w:shd w:val="clear" w:color="auto" w:fill="FFFFFF"/>
              </w:rPr>
              <w:t>PP_2018_ORANG_003_00</w:t>
            </w:r>
          </w:p>
        </w:tc>
        <w:tc>
          <w:tcPr>
            <w:tcW w:w="1409" w:type="dxa"/>
            <w:vAlign w:val="center"/>
          </w:tcPr>
          <w:p w:rsidR="001A2F7B" w:rsidRDefault="001A2F7B" w:rsidP="00934FA3">
            <w:r>
              <w:t>Date issued</w:t>
            </w:r>
          </w:p>
        </w:tc>
        <w:tc>
          <w:tcPr>
            <w:tcW w:w="3328" w:type="dxa"/>
            <w:vAlign w:val="center"/>
          </w:tcPr>
          <w:p w:rsidR="001A2F7B" w:rsidRPr="001B5BDE" w:rsidRDefault="00AD7B6B" w:rsidP="00934FA3">
            <w:pPr>
              <w:rPr>
                <w:b/>
              </w:rPr>
            </w:pPr>
            <w:r w:rsidRPr="001B5BDE">
              <w:rPr>
                <w:b/>
              </w:rPr>
              <w:t>16 November 2018</w:t>
            </w:r>
          </w:p>
        </w:tc>
      </w:tr>
      <w:tr w:rsidR="001A2F7B" w:rsidTr="002432FD">
        <w:tc>
          <w:tcPr>
            <w:tcW w:w="1963" w:type="dxa"/>
            <w:vMerge/>
            <w:vAlign w:val="center"/>
          </w:tcPr>
          <w:p w:rsidR="001A2F7B" w:rsidRDefault="001A2F7B" w:rsidP="00934FA3"/>
        </w:tc>
        <w:tc>
          <w:tcPr>
            <w:tcW w:w="2650" w:type="dxa"/>
            <w:vMerge/>
            <w:vAlign w:val="center"/>
          </w:tcPr>
          <w:p w:rsidR="001A2F7B" w:rsidRPr="001B5BDE" w:rsidRDefault="001A2F7B" w:rsidP="00934FA3">
            <w:pPr>
              <w:rPr>
                <w:b/>
              </w:rPr>
            </w:pPr>
          </w:p>
        </w:tc>
        <w:tc>
          <w:tcPr>
            <w:tcW w:w="1409" w:type="dxa"/>
            <w:vAlign w:val="center"/>
          </w:tcPr>
          <w:p w:rsidR="001A2F7B" w:rsidRDefault="001A2F7B" w:rsidP="001A2F7B">
            <w:r>
              <w:t>Timeframe</w:t>
            </w:r>
          </w:p>
        </w:tc>
        <w:tc>
          <w:tcPr>
            <w:tcW w:w="3328" w:type="dxa"/>
            <w:vAlign w:val="center"/>
          </w:tcPr>
          <w:p w:rsidR="001A2F7B" w:rsidRPr="001B5BDE" w:rsidRDefault="001A2F7B" w:rsidP="00AD7B6B">
            <w:pPr>
              <w:rPr>
                <w:b/>
              </w:rPr>
            </w:pPr>
            <w:r w:rsidRPr="001B5BDE">
              <w:rPr>
                <w:b/>
              </w:rPr>
              <w:t>12 Months  (</w:t>
            </w:r>
            <w:r w:rsidR="00AD7B6B" w:rsidRPr="001B5BDE">
              <w:rPr>
                <w:b/>
              </w:rPr>
              <w:t>16 November 2019</w:t>
            </w:r>
            <w:r w:rsidRPr="001B5BDE">
              <w:rPr>
                <w:b/>
              </w:rPr>
              <w:t>)</w:t>
            </w:r>
          </w:p>
        </w:tc>
      </w:tr>
      <w:tr w:rsidR="00E07EBB" w:rsidTr="002432FD">
        <w:tc>
          <w:tcPr>
            <w:tcW w:w="1963" w:type="dxa"/>
            <w:vAlign w:val="center"/>
          </w:tcPr>
          <w:p w:rsidR="00E07EBB" w:rsidRDefault="001A2F7B" w:rsidP="00934FA3">
            <w:r>
              <w:t>Review requested</w:t>
            </w:r>
          </w:p>
        </w:tc>
        <w:tc>
          <w:tcPr>
            <w:tcW w:w="2650" w:type="dxa"/>
            <w:vAlign w:val="center"/>
          </w:tcPr>
          <w:p w:rsidR="00E07EBB" w:rsidRPr="001B5BDE" w:rsidRDefault="00AD7B6B" w:rsidP="00934FA3">
            <w:pPr>
              <w:rPr>
                <w:b/>
              </w:rPr>
            </w:pPr>
            <w:r w:rsidRPr="001B5BDE">
              <w:rPr>
                <w:b/>
              </w:rPr>
              <w:t>No</w:t>
            </w:r>
          </w:p>
        </w:tc>
        <w:tc>
          <w:tcPr>
            <w:tcW w:w="1409" w:type="dxa"/>
            <w:vAlign w:val="center"/>
          </w:tcPr>
          <w:p w:rsidR="00E07EBB" w:rsidRDefault="00220245" w:rsidP="00220245">
            <w:r>
              <w:t xml:space="preserve">Delegations </w:t>
            </w:r>
          </w:p>
        </w:tc>
        <w:tc>
          <w:tcPr>
            <w:tcW w:w="3328" w:type="dxa"/>
            <w:vAlign w:val="center"/>
          </w:tcPr>
          <w:p w:rsidR="00E07EBB" w:rsidRPr="001B5BDE" w:rsidRDefault="00AD7B6B" w:rsidP="00E07EBB">
            <w:pPr>
              <w:rPr>
                <w:b/>
              </w:rPr>
            </w:pPr>
            <w:r w:rsidRPr="001B5BDE">
              <w:rPr>
                <w:b/>
              </w:rPr>
              <w:t>Council Authorised</w:t>
            </w:r>
          </w:p>
        </w:tc>
      </w:tr>
      <w:tr w:rsidR="00220245" w:rsidTr="002432FD">
        <w:tc>
          <w:tcPr>
            <w:tcW w:w="1963" w:type="dxa"/>
            <w:vAlign w:val="center"/>
          </w:tcPr>
          <w:p w:rsidR="00220245" w:rsidRDefault="00220245" w:rsidP="00220245">
            <w:r>
              <w:t>Review outcome</w:t>
            </w:r>
          </w:p>
        </w:tc>
        <w:tc>
          <w:tcPr>
            <w:tcW w:w="7387" w:type="dxa"/>
            <w:gridSpan w:val="3"/>
            <w:vAlign w:val="center"/>
          </w:tcPr>
          <w:p w:rsidR="00220245" w:rsidRPr="001B5BDE" w:rsidRDefault="00AD7B6B" w:rsidP="00E07EBB">
            <w:pPr>
              <w:rPr>
                <w:b/>
              </w:rPr>
            </w:pPr>
            <w:r w:rsidRPr="001B5BDE">
              <w:rPr>
                <w:b/>
              </w:rPr>
              <w:t>N/A</w:t>
            </w:r>
          </w:p>
        </w:tc>
      </w:tr>
    </w:tbl>
    <w:p w:rsidR="001A2F7B" w:rsidRDefault="001A2F7B" w:rsidP="001A2F7B">
      <w:pPr>
        <w:spacing w:after="0"/>
      </w:pPr>
    </w:p>
    <w:tbl>
      <w:tblPr>
        <w:tblStyle w:val="TableGrid"/>
        <w:tblW w:w="0" w:type="auto"/>
        <w:tblLook w:val="04A0" w:firstRow="1" w:lastRow="0" w:firstColumn="1" w:lastColumn="0" w:noHBand="0" w:noVBand="1"/>
      </w:tblPr>
      <w:tblGrid>
        <w:gridCol w:w="2547"/>
        <w:gridCol w:w="5103"/>
        <w:gridCol w:w="1700"/>
      </w:tblGrid>
      <w:tr w:rsidR="00220245" w:rsidTr="0095799F">
        <w:tc>
          <w:tcPr>
            <w:tcW w:w="2547" w:type="dxa"/>
          </w:tcPr>
          <w:p w:rsidR="00220245" w:rsidRPr="001A2F7B" w:rsidRDefault="00220245" w:rsidP="00220245">
            <w:pPr>
              <w:jc w:val="center"/>
              <w:rPr>
                <w:b/>
              </w:rPr>
            </w:pPr>
            <w:r w:rsidRPr="001A2F7B">
              <w:rPr>
                <w:b/>
              </w:rPr>
              <w:t>Conditions check</w:t>
            </w:r>
          </w:p>
        </w:tc>
        <w:tc>
          <w:tcPr>
            <w:tcW w:w="5103" w:type="dxa"/>
          </w:tcPr>
          <w:p w:rsidR="00220245" w:rsidRPr="00220245" w:rsidRDefault="00220245" w:rsidP="00220245">
            <w:pPr>
              <w:jc w:val="center"/>
              <w:rPr>
                <w:b/>
              </w:rPr>
            </w:pPr>
            <w:r w:rsidRPr="00220245">
              <w:rPr>
                <w:b/>
              </w:rPr>
              <w:t>Requirement</w:t>
            </w:r>
          </w:p>
        </w:tc>
        <w:tc>
          <w:tcPr>
            <w:tcW w:w="1700" w:type="dxa"/>
          </w:tcPr>
          <w:p w:rsidR="00220245" w:rsidRPr="00220245" w:rsidRDefault="00220245" w:rsidP="00220245">
            <w:pPr>
              <w:jc w:val="center"/>
              <w:rPr>
                <w:b/>
              </w:rPr>
            </w:pPr>
            <w:r w:rsidRPr="00220245">
              <w:rPr>
                <w:b/>
              </w:rPr>
              <w:t>Completed</w:t>
            </w:r>
          </w:p>
        </w:tc>
      </w:tr>
      <w:tr w:rsidR="00220245" w:rsidTr="0095799F">
        <w:tc>
          <w:tcPr>
            <w:tcW w:w="2547" w:type="dxa"/>
          </w:tcPr>
          <w:p w:rsidR="00220245" w:rsidRDefault="00220245" w:rsidP="00934FA3">
            <w:r>
              <w:t>Amendments</w:t>
            </w:r>
            <w:r w:rsidR="00920CB5">
              <w:t xml:space="preserve"> required</w:t>
            </w:r>
          </w:p>
        </w:tc>
        <w:tc>
          <w:tcPr>
            <w:tcW w:w="5103" w:type="dxa"/>
          </w:tcPr>
          <w:p w:rsidR="00220245" w:rsidRPr="001B5BDE" w:rsidRDefault="0095799F" w:rsidP="00934FA3">
            <w:pPr>
              <w:rPr>
                <w:b/>
              </w:rPr>
            </w:pPr>
            <w:r w:rsidRPr="001B5BDE">
              <w:rPr>
                <w:b/>
              </w:rPr>
              <w:t>Nil</w:t>
            </w:r>
          </w:p>
        </w:tc>
        <w:tc>
          <w:tcPr>
            <w:tcW w:w="1700" w:type="dxa"/>
          </w:tcPr>
          <w:p w:rsidR="00220245" w:rsidRDefault="00220245" w:rsidP="00934FA3"/>
        </w:tc>
      </w:tr>
      <w:tr w:rsidR="00220245" w:rsidTr="0095799F">
        <w:tc>
          <w:tcPr>
            <w:tcW w:w="2547" w:type="dxa"/>
          </w:tcPr>
          <w:p w:rsidR="00220245" w:rsidRDefault="00220245" w:rsidP="00934FA3">
            <w:r>
              <w:t>Community Consultation</w:t>
            </w:r>
          </w:p>
        </w:tc>
        <w:tc>
          <w:tcPr>
            <w:tcW w:w="5103" w:type="dxa"/>
          </w:tcPr>
          <w:p w:rsidR="00220245" w:rsidRPr="001B5BDE" w:rsidRDefault="0095799F" w:rsidP="00934FA3">
            <w:pPr>
              <w:rPr>
                <w:b/>
              </w:rPr>
            </w:pPr>
            <w:r w:rsidRPr="001B5BDE">
              <w:rPr>
                <w:b/>
              </w:rPr>
              <w:t>28 Days</w:t>
            </w:r>
          </w:p>
        </w:tc>
        <w:tc>
          <w:tcPr>
            <w:tcW w:w="1700" w:type="dxa"/>
          </w:tcPr>
          <w:p w:rsidR="00220245" w:rsidRPr="001B5BDE" w:rsidRDefault="0095799F" w:rsidP="00934FA3">
            <w:pPr>
              <w:rPr>
                <w:b/>
              </w:rPr>
            </w:pPr>
            <w:r w:rsidRPr="001B5BDE">
              <w:rPr>
                <w:b/>
              </w:rPr>
              <w:t>4 February 2019</w:t>
            </w:r>
          </w:p>
        </w:tc>
      </w:tr>
      <w:tr w:rsidR="00220245" w:rsidTr="0095799F">
        <w:tc>
          <w:tcPr>
            <w:tcW w:w="2547" w:type="dxa"/>
          </w:tcPr>
          <w:p w:rsidR="00220245" w:rsidRDefault="00220245" w:rsidP="00934FA3">
            <w:r>
              <w:t>Agency consultation</w:t>
            </w:r>
          </w:p>
        </w:tc>
        <w:tc>
          <w:tcPr>
            <w:tcW w:w="5103" w:type="dxa"/>
          </w:tcPr>
          <w:p w:rsidR="00220245" w:rsidRPr="001B5BDE" w:rsidRDefault="0095799F" w:rsidP="00934FA3">
            <w:pPr>
              <w:rPr>
                <w:b/>
              </w:rPr>
            </w:pPr>
            <w:r w:rsidRPr="001B5BDE">
              <w:rPr>
                <w:b/>
              </w:rPr>
              <w:t>Nil</w:t>
            </w:r>
          </w:p>
        </w:tc>
        <w:tc>
          <w:tcPr>
            <w:tcW w:w="1700" w:type="dxa"/>
          </w:tcPr>
          <w:p w:rsidR="00220245" w:rsidRDefault="00220245" w:rsidP="00934FA3"/>
        </w:tc>
      </w:tr>
      <w:tr w:rsidR="00220245" w:rsidTr="0095799F">
        <w:tc>
          <w:tcPr>
            <w:tcW w:w="2547" w:type="dxa"/>
          </w:tcPr>
          <w:p w:rsidR="00220245" w:rsidRDefault="00220245" w:rsidP="00934FA3">
            <w:r>
              <w:t>Public Hearing</w:t>
            </w:r>
          </w:p>
        </w:tc>
        <w:tc>
          <w:tcPr>
            <w:tcW w:w="5103" w:type="dxa"/>
          </w:tcPr>
          <w:p w:rsidR="00220245" w:rsidRPr="001B5BDE" w:rsidRDefault="0095799F" w:rsidP="00934FA3">
            <w:pPr>
              <w:rPr>
                <w:b/>
              </w:rPr>
            </w:pPr>
            <w:r w:rsidRPr="001B5BDE">
              <w:rPr>
                <w:b/>
              </w:rPr>
              <w:t>N/A</w:t>
            </w:r>
          </w:p>
        </w:tc>
        <w:tc>
          <w:tcPr>
            <w:tcW w:w="1700" w:type="dxa"/>
          </w:tcPr>
          <w:p w:rsidR="00220245" w:rsidRDefault="00220245" w:rsidP="00934FA3"/>
        </w:tc>
      </w:tr>
      <w:tr w:rsidR="00220245" w:rsidTr="0095799F">
        <w:tc>
          <w:tcPr>
            <w:tcW w:w="2547" w:type="dxa"/>
          </w:tcPr>
          <w:p w:rsidR="00220245" w:rsidRDefault="00220245" w:rsidP="00934FA3">
            <w:r>
              <w:t>Mapping</w:t>
            </w:r>
          </w:p>
        </w:tc>
        <w:tc>
          <w:tcPr>
            <w:tcW w:w="5103" w:type="dxa"/>
          </w:tcPr>
          <w:p w:rsidR="00220245" w:rsidRPr="001B5BDE" w:rsidRDefault="0095799F" w:rsidP="00934FA3">
            <w:pPr>
              <w:rPr>
                <w:b/>
              </w:rPr>
            </w:pPr>
            <w:r w:rsidRPr="001B5BDE">
              <w:rPr>
                <w:b/>
              </w:rPr>
              <w:t>Nil</w:t>
            </w:r>
          </w:p>
        </w:tc>
        <w:tc>
          <w:tcPr>
            <w:tcW w:w="1700" w:type="dxa"/>
          </w:tcPr>
          <w:p w:rsidR="00220245" w:rsidRDefault="00220245" w:rsidP="00934FA3"/>
        </w:tc>
      </w:tr>
    </w:tbl>
    <w:p w:rsidR="00220245" w:rsidRDefault="00220245" w:rsidP="00920CB5">
      <w:pPr>
        <w:spacing w:after="0"/>
      </w:pPr>
    </w:p>
    <w:tbl>
      <w:tblPr>
        <w:tblStyle w:val="TableGrid"/>
        <w:tblW w:w="0" w:type="auto"/>
        <w:tblLook w:val="04A0" w:firstRow="1" w:lastRow="0" w:firstColumn="1" w:lastColumn="0" w:noHBand="0" w:noVBand="1"/>
      </w:tblPr>
      <w:tblGrid>
        <w:gridCol w:w="2547"/>
        <w:gridCol w:w="3118"/>
        <w:gridCol w:w="3685"/>
      </w:tblGrid>
      <w:tr w:rsidR="00220245" w:rsidRPr="00632F90" w:rsidTr="00920CB5">
        <w:tc>
          <w:tcPr>
            <w:tcW w:w="2547" w:type="dxa"/>
          </w:tcPr>
          <w:p w:rsidR="00220245" w:rsidRPr="00632F90" w:rsidRDefault="00220245" w:rsidP="00632F90">
            <w:pPr>
              <w:jc w:val="center"/>
              <w:rPr>
                <w:b/>
              </w:rPr>
            </w:pPr>
          </w:p>
        </w:tc>
        <w:tc>
          <w:tcPr>
            <w:tcW w:w="3118" w:type="dxa"/>
          </w:tcPr>
          <w:p w:rsidR="00220245" w:rsidRPr="00632F90" w:rsidRDefault="00632F90" w:rsidP="00632F90">
            <w:pPr>
              <w:jc w:val="center"/>
              <w:rPr>
                <w:b/>
              </w:rPr>
            </w:pPr>
            <w:r w:rsidRPr="00632F90">
              <w:rPr>
                <w:b/>
              </w:rPr>
              <w:t>Departure</w:t>
            </w:r>
          </w:p>
        </w:tc>
        <w:tc>
          <w:tcPr>
            <w:tcW w:w="3685" w:type="dxa"/>
          </w:tcPr>
          <w:p w:rsidR="00220245" w:rsidRPr="00632F90" w:rsidRDefault="00632F90" w:rsidP="00632F90">
            <w:pPr>
              <w:jc w:val="center"/>
              <w:rPr>
                <w:b/>
              </w:rPr>
            </w:pPr>
            <w:r w:rsidRPr="00632F90">
              <w:rPr>
                <w:b/>
              </w:rPr>
              <w:t>Rationale</w:t>
            </w:r>
          </w:p>
        </w:tc>
      </w:tr>
      <w:tr w:rsidR="00220245" w:rsidTr="00920CB5">
        <w:tc>
          <w:tcPr>
            <w:tcW w:w="2547" w:type="dxa"/>
          </w:tcPr>
          <w:p w:rsidR="00220245" w:rsidRDefault="00220245" w:rsidP="00934FA3">
            <w:r>
              <w:t>Non-compliance / variation to conditions</w:t>
            </w:r>
          </w:p>
        </w:tc>
        <w:tc>
          <w:tcPr>
            <w:tcW w:w="3118" w:type="dxa"/>
          </w:tcPr>
          <w:p w:rsidR="00220245" w:rsidRPr="001B5BDE" w:rsidRDefault="0095799F" w:rsidP="00934FA3">
            <w:pPr>
              <w:rPr>
                <w:b/>
              </w:rPr>
            </w:pPr>
            <w:r w:rsidRPr="001B5BDE">
              <w:rPr>
                <w:b/>
              </w:rPr>
              <w:t>Nil</w:t>
            </w:r>
          </w:p>
        </w:tc>
        <w:tc>
          <w:tcPr>
            <w:tcW w:w="3685" w:type="dxa"/>
          </w:tcPr>
          <w:p w:rsidR="00220245" w:rsidRPr="001B5BDE" w:rsidRDefault="0095799F" w:rsidP="00934FA3">
            <w:pPr>
              <w:rPr>
                <w:b/>
              </w:rPr>
            </w:pPr>
            <w:r w:rsidRPr="001B5BDE">
              <w:rPr>
                <w:b/>
              </w:rPr>
              <w:t>N/A</w:t>
            </w:r>
          </w:p>
        </w:tc>
      </w:tr>
    </w:tbl>
    <w:p w:rsidR="00220245" w:rsidRDefault="00220245" w:rsidP="00934FA3"/>
    <w:p w:rsidR="00751B16" w:rsidRPr="00BC409D" w:rsidRDefault="00751B16" w:rsidP="00751B16">
      <w:pPr>
        <w:pStyle w:val="Heading2"/>
        <w:numPr>
          <w:ilvl w:val="0"/>
          <w:numId w:val="2"/>
        </w:numPr>
        <w:rPr>
          <w:rFonts w:ascii="Franklin Gothic Book" w:hAnsi="Franklin Gothic Book" w:cstheme="minorHAnsi"/>
          <w:b/>
          <w:sz w:val="28"/>
        </w:rPr>
      </w:pPr>
      <w:r w:rsidRPr="00BC409D">
        <w:rPr>
          <w:rFonts w:ascii="Franklin Gothic Book" w:hAnsi="Franklin Gothic Book" w:cstheme="minorHAnsi"/>
          <w:b/>
          <w:sz w:val="28"/>
        </w:rPr>
        <w:t>Community Consultation</w:t>
      </w:r>
    </w:p>
    <w:p w:rsidR="004B35E2" w:rsidRDefault="004B35E2" w:rsidP="004B35E2">
      <w:pPr>
        <w:pStyle w:val="ListParagraph"/>
        <w:numPr>
          <w:ilvl w:val="0"/>
          <w:numId w:val="5"/>
        </w:numPr>
      </w:pPr>
      <w:r>
        <w:t>Dates of exhibition</w:t>
      </w:r>
      <w:r w:rsidR="0095799F">
        <w:t xml:space="preserve">: </w:t>
      </w:r>
      <w:r w:rsidR="0095799F" w:rsidRPr="0095799F">
        <w:rPr>
          <w:b/>
        </w:rPr>
        <w:t>14 December 2018 – 4 February 2019</w:t>
      </w:r>
    </w:p>
    <w:p w:rsidR="004B35E2" w:rsidRDefault="004B35E2" w:rsidP="004B35E2">
      <w:pPr>
        <w:pStyle w:val="ListParagraph"/>
        <w:numPr>
          <w:ilvl w:val="0"/>
          <w:numId w:val="5"/>
        </w:numPr>
      </w:pPr>
      <w:r>
        <w:t>Number of submissions received</w:t>
      </w:r>
      <w:r w:rsidR="0095799F">
        <w:t xml:space="preserve">: </w:t>
      </w:r>
      <w:r w:rsidR="0095799F" w:rsidRPr="0095799F">
        <w:rPr>
          <w:b/>
        </w:rPr>
        <w:t>1</w:t>
      </w:r>
    </w:p>
    <w:p w:rsidR="0095799F" w:rsidRPr="0095799F" w:rsidRDefault="004B35E2" w:rsidP="0095799F">
      <w:pPr>
        <w:pStyle w:val="ListParagraph"/>
        <w:numPr>
          <w:ilvl w:val="0"/>
          <w:numId w:val="9"/>
        </w:numPr>
        <w:rPr>
          <w:b/>
        </w:rPr>
      </w:pPr>
      <w:r>
        <w:lastRenderedPageBreak/>
        <w:t>Issues raised during exhibition</w:t>
      </w:r>
      <w:r w:rsidR="0095799F">
        <w:t xml:space="preserve">: </w:t>
      </w:r>
      <w:r w:rsidR="0095799F" w:rsidRPr="0095799F">
        <w:rPr>
          <w:b/>
        </w:rPr>
        <w:t>Potential to fragment the CBD, Require DCP controls in relation to amenity issues, Not appropriate in industrial zones – potential to conflict with industrial uses.</w:t>
      </w:r>
    </w:p>
    <w:p w:rsidR="004B35E2" w:rsidRPr="0095799F" w:rsidRDefault="004B35E2" w:rsidP="004B35E2">
      <w:pPr>
        <w:pStyle w:val="ListParagraph"/>
        <w:numPr>
          <w:ilvl w:val="0"/>
          <w:numId w:val="5"/>
        </w:numPr>
        <w:rPr>
          <w:b/>
        </w:rPr>
      </w:pPr>
      <w:r w:rsidRPr="0095799F">
        <w:rPr>
          <w:b/>
        </w:rPr>
        <w:t>Responses to issues</w:t>
      </w:r>
      <w:r w:rsidR="0095799F" w:rsidRPr="0095799F">
        <w:rPr>
          <w:b/>
        </w:rPr>
        <w:t>:</w:t>
      </w:r>
    </w:p>
    <w:p w:rsidR="0095799F" w:rsidRPr="0095799F" w:rsidRDefault="0095799F" w:rsidP="0095799F">
      <w:pPr>
        <w:pStyle w:val="ListParagraph"/>
        <w:rPr>
          <w:b/>
        </w:rPr>
      </w:pPr>
      <w:r w:rsidRPr="0095799F">
        <w:rPr>
          <w:b/>
        </w:rPr>
        <w:t>The use is to be permitted in the CBD, market forces are likely to drive such operators to seek a central location and the zones indicated have already been identified for commercial purposes. Amenity protection conditions can be imposed as needed. Zones selected are already intended to be commercial in function. Artisan uses are likely to be varied in nature, more industrial variants can be guided toward industrial estates, more tourist oriented variants can be accommodated within the CBD and commercial zones which is likely to boost trading performance generally. Restaurant focussed variants are unlikely to seek an industrial zone as the environs would generally deter patronage.</w:t>
      </w:r>
    </w:p>
    <w:p w:rsidR="0095799F" w:rsidRDefault="0095799F" w:rsidP="0095799F">
      <w:pPr>
        <w:pStyle w:val="ListParagraph"/>
      </w:pPr>
    </w:p>
    <w:p w:rsidR="004B35E2" w:rsidRDefault="004B35E2" w:rsidP="004B35E2">
      <w:pPr>
        <w:pStyle w:val="ListParagraph"/>
        <w:numPr>
          <w:ilvl w:val="0"/>
          <w:numId w:val="5"/>
        </w:numPr>
      </w:pPr>
      <w:r>
        <w:t>Whether the planning propos</w:t>
      </w:r>
      <w:r w:rsidR="0095799F">
        <w:t xml:space="preserve">al was re-exhibited: </w:t>
      </w:r>
      <w:r w:rsidR="0095799F" w:rsidRPr="0095799F">
        <w:rPr>
          <w:b/>
        </w:rPr>
        <w:t>No</w:t>
      </w:r>
    </w:p>
    <w:p w:rsidR="004B35E2" w:rsidRDefault="004B35E2" w:rsidP="004B35E2">
      <w:pPr>
        <w:pStyle w:val="ListParagraph"/>
        <w:numPr>
          <w:ilvl w:val="0"/>
          <w:numId w:val="5"/>
        </w:numPr>
      </w:pPr>
      <w:r>
        <w:t>Whether the consultation requirements included in the Gateway determination were complied with</w:t>
      </w:r>
      <w:r w:rsidR="0095799F">
        <w:t xml:space="preserve">: </w:t>
      </w:r>
      <w:r w:rsidR="0095799F" w:rsidRPr="0095799F">
        <w:rPr>
          <w:b/>
        </w:rPr>
        <w:t>Yes</w:t>
      </w:r>
    </w:p>
    <w:p w:rsidR="004B35E2" w:rsidRPr="00751B16" w:rsidRDefault="004B35E2" w:rsidP="004B35E2">
      <w:pPr>
        <w:pStyle w:val="ListParagraph"/>
        <w:numPr>
          <w:ilvl w:val="0"/>
          <w:numId w:val="5"/>
        </w:numPr>
      </w:pPr>
      <w:r>
        <w:t>What amendments were made to the planning proposal to respond to the issues rai</w:t>
      </w:r>
      <w:r w:rsidR="0095799F">
        <w:t>s</w:t>
      </w:r>
      <w:r>
        <w:t>ed during public exhibition</w:t>
      </w:r>
      <w:r w:rsidR="0095799F">
        <w:t xml:space="preserve">: </w:t>
      </w:r>
      <w:r w:rsidR="0095799F" w:rsidRPr="0095799F">
        <w:rPr>
          <w:b/>
        </w:rPr>
        <w:t>No</w:t>
      </w:r>
    </w:p>
    <w:p w:rsidR="00751B16" w:rsidRPr="00BC409D" w:rsidRDefault="00751B16" w:rsidP="00751B16">
      <w:pPr>
        <w:pStyle w:val="Heading2"/>
        <w:numPr>
          <w:ilvl w:val="0"/>
          <w:numId w:val="2"/>
        </w:numPr>
        <w:rPr>
          <w:rFonts w:ascii="Franklin Gothic Book" w:hAnsi="Franklin Gothic Book" w:cstheme="minorHAnsi"/>
          <w:b/>
          <w:sz w:val="28"/>
        </w:rPr>
      </w:pPr>
      <w:r w:rsidRPr="00BC409D">
        <w:rPr>
          <w:rFonts w:ascii="Franklin Gothic Book" w:hAnsi="Franklin Gothic Book" w:cstheme="minorHAnsi"/>
          <w:b/>
          <w:sz w:val="28"/>
        </w:rPr>
        <w:t>Views of Public Authorities</w:t>
      </w:r>
    </w:p>
    <w:p w:rsidR="004B35E2" w:rsidRDefault="0095799F" w:rsidP="004B35E2">
      <w:pPr>
        <w:pStyle w:val="ListParagraph"/>
        <w:numPr>
          <w:ilvl w:val="0"/>
          <w:numId w:val="6"/>
        </w:numPr>
      </w:pPr>
      <w:r>
        <w:t xml:space="preserve">Which agencies were consulted: </w:t>
      </w:r>
      <w:r w:rsidRPr="0095799F">
        <w:rPr>
          <w:b/>
        </w:rPr>
        <w:t>Nil</w:t>
      </w:r>
    </w:p>
    <w:p w:rsidR="004B35E2" w:rsidRDefault="004B35E2" w:rsidP="004B35E2">
      <w:pPr>
        <w:pStyle w:val="ListParagraph"/>
        <w:numPr>
          <w:ilvl w:val="0"/>
          <w:numId w:val="6"/>
        </w:numPr>
      </w:pPr>
      <w:r>
        <w:lastRenderedPageBreak/>
        <w:t>Which agencies provided a response</w:t>
      </w:r>
      <w:r w:rsidR="0095799F">
        <w:t xml:space="preserve">: </w:t>
      </w:r>
      <w:r w:rsidR="0095799F" w:rsidRPr="0095799F">
        <w:rPr>
          <w:b/>
        </w:rPr>
        <w:t>Nil</w:t>
      </w:r>
    </w:p>
    <w:p w:rsidR="004B35E2" w:rsidRDefault="004B35E2" w:rsidP="004B35E2">
      <w:pPr>
        <w:pStyle w:val="ListParagraph"/>
        <w:numPr>
          <w:ilvl w:val="0"/>
          <w:numId w:val="6"/>
        </w:numPr>
      </w:pPr>
      <w:r>
        <w:t>What were the views of those agencies</w:t>
      </w:r>
      <w:r w:rsidR="0095799F">
        <w:t xml:space="preserve">: </w:t>
      </w:r>
      <w:r w:rsidR="0095799F" w:rsidRPr="0095799F">
        <w:rPr>
          <w:b/>
        </w:rPr>
        <w:t>N/A</w:t>
      </w:r>
    </w:p>
    <w:p w:rsidR="004B35E2" w:rsidRDefault="004B35E2" w:rsidP="004B35E2">
      <w:pPr>
        <w:pStyle w:val="ListParagraph"/>
        <w:numPr>
          <w:ilvl w:val="0"/>
          <w:numId w:val="6"/>
        </w:numPr>
      </w:pPr>
      <w:r>
        <w:t>How were any objections or issues resolved</w:t>
      </w:r>
      <w:r w:rsidR="0095799F">
        <w:t xml:space="preserve">: </w:t>
      </w:r>
      <w:r w:rsidR="0095799F" w:rsidRPr="0095799F">
        <w:rPr>
          <w:b/>
        </w:rPr>
        <w:t>N/A</w:t>
      </w:r>
    </w:p>
    <w:p w:rsidR="004B35E2" w:rsidRDefault="004B35E2" w:rsidP="004B35E2">
      <w:pPr>
        <w:pStyle w:val="ListParagraph"/>
        <w:numPr>
          <w:ilvl w:val="0"/>
          <w:numId w:val="6"/>
        </w:numPr>
      </w:pPr>
      <w:r>
        <w:t>Did agency consultation occur in accordance with the requirements of the Gateway determination</w:t>
      </w:r>
      <w:r w:rsidR="0095799F">
        <w:t xml:space="preserve">: </w:t>
      </w:r>
      <w:r w:rsidR="0095799F" w:rsidRPr="0095799F">
        <w:rPr>
          <w:b/>
        </w:rPr>
        <w:t>Not required by gateway</w:t>
      </w:r>
    </w:p>
    <w:p w:rsidR="004B35E2" w:rsidRPr="00751B16" w:rsidRDefault="004B35E2" w:rsidP="004B35E2">
      <w:pPr>
        <w:pStyle w:val="ListParagraph"/>
        <w:numPr>
          <w:ilvl w:val="0"/>
          <w:numId w:val="6"/>
        </w:numPr>
      </w:pPr>
      <w:r>
        <w:t>What amendments were made to the planning proposal to respond to the issues raised by agencies</w:t>
      </w:r>
      <w:r w:rsidR="0095799F">
        <w:t xml:space="preserve">: </w:t>
      </w:r>
      <w:r w:rsidR="0095799F" w:rsidRPr="0095799F">
        <w:rPr>
          <w:b/>
        </w:rPr>
        <w:t>N/A</w:t>
      </w:r>
    </w:p>
    <w:p w:rsidR="00751B16" w:rsidRPr="00BC409D" w:rsidRDefault="00751B16" w:rsidP="00751B16">
      <w:pPr>
        <w:pStyle w:val="Heading2"/>
        <w:numPr>
          <w:ilvl w:val="0"/>
          <w:numId w:val="2"/>
        </w:numPr>
        <w:rPr>
          <w:rFonts w:ascii="Franklin Gothic Book" w:hAnsi="Franklin Gothic Book" w:cstheme="minorHAnsi"/>
          <w:b/>
          <w:sz w:val="28"/>
        </w:rPr>
      </w:pPr>
      <w:r w:rsidRPr="00BC409D">
        <w:rPr>
          <w:rFonts w:ascii="Franklin Gothic Book" w:hAnsi="Franklin Gothic Book" w:cstheme="minorHAnsi"/>
          <w:b/>
          <w:sz w:val="28"/>
        </w:rPr>
        <w:t>Consistency with Section 9.1 Directions and other Strategy Planning Documents</w:t>
      </w:r>
    </w:p>
    <w:p w:rsidR="00934FA3" w:rsidRPr="001B5BDE" w:rsidRDefault="0095799F" w:rsidP="00934FA3">
      <w:pPr>
        <w:rPr>
          <w:b/>
        </w:rPr>
      </w:pPr>
      <w:r w:rsidRPr="001B5BDE">
        <w:rPr>
          <w:b/>
        </w:rPr>
        <w:t>Consistent – refer Planning Proposal documents</w:t>
      </w:r>
    </w:p>
    <w:p w:rsidR="00EC2D15" w:rsidRPr="001B5BDE" w:rsidRDefault="00C56471" w:rsidP="00934FA3">
      <w:pPr>
        <w:rPr>
          <w:b/>
        </w:rPr>
      </w:pPr>
      <w:r w:rsidRPr="001B5BDE">
        <w:rPr>
          <w:b/>
        </w:rPr>
        <w:t>No Agency consultation required.</w:t>
      </w:r>
    </w:p>
    <w:p w:rsidR="00751B16" w:rsidRPr="00BC409D" w:rsidRDefault="00751B16" w:rsidP="00751B16">
      <w:pPr>
        <w:pStyle w:val="Heading2"/>
        <w:numPr>
          <w:ilvl w:val="0"/>
          <w:numId w:val="2"/>
        </w:numPr>
        <w:rPr>
          <w:rFonts w:ascii="Franklin Gothic Book" w:hAnsi="Franklin Gothic Book" w:cstheme="minorHAnsi"/>
          <w:b/>
          <w:sz w:val="28"/>
        </w:rPr>
      </w:pPr>
      <w:r w:rsidRPr="00BC409D">
        <w:rPr>
          <w:rFonts w:ascii="Franklin Gothic Book" w:hAnsi="Franklin Gothic Book" w:cstheme="minorHAnsi"/>
          <w:b/>
          <w:sz w:val="28"/>
        </w:rPr>
        <w:t>Parliamentary Counsel Opinion</w:t>
      </w:r>
    </w:p>
    <w:tbl>
      <w:tblPr>
        <w:tblStyle w:val="TableGrid"/>
        <w:tblW w:w="0" w:type="auto"/>
        <w:tblLook w:val="04A0" w:firstRow="1" w:lastRow="0" w:firstColumn="1" w:lastColumn="0" w:noHBand="0" w:noVBand="1"/>
      </w:tblPr>
      <w:tblGrid>
        <w:gridCol w:w="3397"/>
        <w:gridCol w:w="5953"/>
      </w:tblGrid>
      <w:tr w:rsidR="001F03E8" w:rsidTr="001F03E8">
        <w:tc>
          <w:tcPr>
            <w:tcW w:w="3397" w:type="dxa"/>
          </w:tcPr>
          <w:p w:rsidR="001F03E8" w:rsidRDefault="001F03E8" w:rsidP="00751B16">
            <w:r>
              <w:t>PC Opinion requested</w:t>
            </w:r>
          </w:p>
        </w:tc>
        <w:tc>
          <w:tcPr>
            <w:tcW w:w="5953" w:type="dxa"/>
          </w:tcPr>
          <w:p w:rsidR="001F03E8" w:rsidRDefault="001B5BDE" w:rsidP="00751B16">
            <w:r>
              <w:t>June 2019</w:t>
            </w:r>
          </w:p>
        </w:tc>
      </w:tr>
      <w:tr w:rsidR="001F03E8" w:rsidTr="001F03E8">
        <w:tc>
          <w:tcPr>
            <w:tcW w:w="3397" w:type="dxa"/>
          </w:tcPr>
          <w:p w:rsidR="001F03E8" w:rsidRDefault="001F03E8" w:rsidP="00751B16">
            <w:r>
              <w:t>Draft PC Opinion received</w:t>
            </w:r>
          </w:p>
        </w:tc>
        <w:tc>
          <w:tcPr>
            <w:tcW w:w="5953" w:type="dxa"/>
          </w:tcPr>
          <w:p w:rsidR="001F03E8" w:rsidRDefault="001B5BDE" w:rsidP="00751B16">
            <w:r>
              <w:t>Mid July 2019</w:t>
            </w:r>
          </w:p>
        </w:tc>
      </w:tr>
      <w:tr w:rsidR="001F03E8" w:rsidTr="001F03E8">
        <w:tc>
          <w:tcPr>
            <w:tcW w:w="3397" w:type="dxa"/>
          </w:tcPr>
          <w:p w:rsidR="001F03E8" w:rsidRDefault="001F03E8" w:rsidP="00751B16">
            <w:r>
              <w:t>Feedback / Acceptance provided</w:t>
            </w:r>
          </w:p>
        </w:tc>
        <w:tc>
          <w:tcPr>
            <w:tcW w:w="5953" w:type="dxa"/>
          </w:tcPr>
          <w:p w:rsidR="001F03E8" w:rsidRDefault="001B5BDE" w:rsidP="00751B16">
            <w:r>
              <w:t>16 July 2019</w:t>
            </w:r>
          </w:p>
        </w:tc>
      </w:tr>
      <w:tr w:rsidR="001F03E8" w:rsidTr="001F03E8">
        <w:tc>
          <w:tcPr>
            <w:tcW w:w="3397" w:type="dxa"/>
          </w:tcPr>
          <w:p w:rsidR="001F03E8" w:rsidRDefault="001F03E8" w:rsidP="00751B16">
            <w:r>
              <w:t>Formal PC Opinion received</w:t>
            </w:r>
          </w:p>
        </w:tc>
        <w:tc>
          <w:tcPr>
            <w:tcW w:w="5953" w:type="dxa"/>
          </w:tcPr>
          <w:p w:rsidR="001F03E8" w:rsidRDefault="001B5BDE" w:rsidP="00751B16">
            <w:r>
              <w:t>17 July 2019</w:t>
            </w:r>
          </w:p>
        </w:tc>
      </w:tr>
    </w:tbl>
    <w:p w:rsidR="001F03E8" w:rsidRPr="00751B16" w:rsidRDefault="001F03E8" w:rsidP="00751B16"/>
    <w:p w:rsidR="00751B16" w:rsidRPr="00BC409D" w:rsidRDefault="00751B16" w:rsidP="00751B16">
      <w:pPr>
        <w:pStyle w:val="Heading2"/>
        <w:numPr>
          <w:ilvl w:val="0"/>
          <w:numId w:val="2"/>
        </w:numPr>
        <w:rPr>
          <w:rFonts w:ascii="Franklin Gothic Book" w:hAnsi="Franklin Gothic Book" w:cstheme="minorHAnsi"/>
          <w:b/>
          <w:sz w:val="28"/>
        </w:rPr>
      </w:pPr>
      <w:r w:rsidRPr="00BC409D">
        <w:rPr>
          <w:rFonts w:ascii="Franklin Gothic Book" w:hAnsi="Franklin Gothic Book" w:cstheme="minorHAnsi"/>
          <w:b/>
          <w:sz w:val="28"/>
        </w:rPr>
        <w:t>Other Relevant Matters</w:t>
      </w:r>
    </w:p>
    <w:p w:rsidR="004B35E2" w:rsidRDefault="004B35E2" w:rsidP="004B35E2">
      <w:pPr>
        <w:pStyle w:val="ListParagraph"/>
        <w:numPr>
          <w:ilvl w:val="0"/>
          <w:numId w:val="7"/>
        </w:numPr>
      </w:pPr>
      <w:r>
        <w:t>Whether representations have been received on the planning proposal from State or Federal members of Parliament</w:t>
      </w:r>
      <w:r w:rsidR="002432FD">
        <w:t xml:space="preserve">: </w:t>
      </w:r>
      <w:r w:rsidR="002432FD" w:rsidRPr="002432FD">
        <w:rPr>
          <w:b/>
        </w:rPr>
        <w:t>Nil</w:t>
      </w:r>
    </w:p>
    <w:p w:rsidR="004B35E2" w:rsidRPr="00751B16" w:rsidRDefault="004B35E2" w:rsidP="004B35E2">
      <w:pPr>
        <w:pStyle w:val="ListParagraph"/>
        <w:numPr>
          <w:ilvl w:val="0"/>
          <w:numId w:val="7"/>
        </w:numPr>
      </w:pPr>
      <w:r>
        <w:t>Whether council has met with the Minister in relation to the planning proposal</w:t>
      </w:r>
      <w:r w:rsidR="002432FD">
        <w:t xml:space="preserve">: </w:t>
      </w:r>
      <w:r w:rsidR="002432FD" w:rsidRPr="002432FD">
        <w:rPr>
          <w:b/>
        </w:rPr>
        <w:t>No</w:t>
      </w:r>
    </w:p>
    <w:p w:rsidR="00751B16" w:rsidRPr="00934FA3" w:rsidRDefault="00751B16" w:rsidP="00751B16">
      <w:pPr>
        <w:pStyle w:val="Heading2"/>
        <w:numPr>
          <w:ilvl w:val="0"/>
          <w:numId w:val="2"/>
        </w:numPr>
        <w:rPr>
          <w:rFonts w:ascii="Franklin Gothic Book" w:hAnsi="Franklin Gothic Book" w:cstheme="minorHAnsi"/>
          <w:b/>
          <w:sz w:val="28"/>
        </w:rPr>
      </w:pPr>
      <w:r w:rsidRPr="00BC409D">
        <w:rPr>
          <w:rFonts w:ascii="Franklin Gothic Book" w:hAnsi="Franklin Gothic Book" w:cstheme="minorHAnsi"/>
          <w:b/>
          <w:sz w:val="28"/>
        </w:rPr>
        <w:lastRenderedPageBreak/>
        <w:t>Mapping</w:t>
      </w:r>
    </w:p>
    <w:p w:rsidR="00934FA3" w:rsidRPr="002432FD" w:rsidRDefault="002432FD" w:rsidP="00751B16">
      <w:pPr>
        <w:rPr>
          <w:b/>
        </w:rPr>
      </w:pPr>
      <w:r w:rsidRPr="002432FD">
        <w:rPr>
          <w:b/>
        </w:rPr>
        <w:t>Nil</w:t>
      </w:r>
    </w:p>
    <w:p w:rsidR="00751B16" w:rsidRDefault="00751B16" w:rsidP="00751B16">
      <w:pPr>
        <w:pStyle w:val="Heading2"/>
        <w:numPr>
          <w:ilvl w:val="0"/>
          <w:numId w:val="2"/>
        </w:numPr>
        <w:rPr>
          <w:rFonts w:ascii="Franklin Gothic Book" w:hAnsi="Franklin Gothic Book" w:cstheme="minorHAnsi"/>
          <w:b/>
          <w:sz w:val="28"/>
        </w:rPr>
      </w:pPr>
      <w:r w:rsidRPr="00BC409D">
        <w:rPr>
          <w:rFonts w:ascii="Franklin Gothic Book" w:hAnsi="Franklin Gothic Book" w:cstheme="minorHAnsi"/>
          <w:b/>
          <w:sz w:val="28"/>
        </w:rPr>
        <w:t>Recommendation</w:t>
      </w:r>
    </w:p>
    <w:p w:rsidR="00934FA3" w:rsidRPr="002432FD" w:rsidRDefault="002432FD" w:rsidP="00BC409D">
      <w:pPr>
        <w:rPr>
          <w:b/>
        </w:rPr>
      </w:pPr>
      <w:r w:rsidRPr="002432FD">
        <w:rPr>
          <w:b/>
        </w:rPr>
        <w:t>Council recommend the plan be made without changes.</w:t>
      </w:r>
    </w:p>
    <w:p w:rsidR="00751B16" w:rsidRPr="00751B16" w:rsidRDefault="00751B16" w:rsidP="00751B16"/>
    <w:p w:rsidR="00751B16" w:rsidRPr="00BC409D" w:rsidRDefault="00751B16" w:rsidP="00BC409D">
      <w:pPr>
        <w:pStyle w:val="Heading2"/>
        <w:rPr>
          <w:rFonts w:ascii="Franklin Gothic Book" w:hAnsi="Franklin Gothic Book" w:cstheme="minorHAnsi"/>
          <w:b/>
          <w:sz w:val="28"/>
        </w:rPr>
      </w:pPr>
      <w:r w:rsidRPr="00BC409D">
        <w:rPr>
          <w:rFonts w:ascii="Franklin Gothic Book" w:hAnsi="Franklin Gothic Book" w:cstheme="minorHAnsi"/>
          <w:b/>
          <w:sz w:val="28"/>
        </w:rPr>
        <w:t>Note</w:t>
      </w:r>
    </w:p>
    <w:p w:rsidR="00751B16" w:rsidRDefault="00751B16" w:rsidP="00751B16">
      <w:r>
        <w:t>Council is to include copies of all relevant documents referred to in the summary report properly tagged and clearly identified.</w:t>
      </w:r>
    </w:p>
    <w:p w:rsidR="00751B16" w:rsidRDefault="00751B16"/>
    <w:sectPr w:rsidR="00751B16" w:rsidSect="00013922">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Black">
    <w:panose1 w:val="020B0A02040204020203"/>
    <w:charset w:val="00"/>
    <w:family w:val="swiss"/>
    <w:pitch w:val="variable"/>
    <w:sig w:usb0="E10002FF" w:usb1="4000E47F" w:usb2="00000021" w:usb3="00000000" w:csb0="0000019F" w:csb1="00000000"/>
  </w:font>
  <w:font w:name="Franklin Gothic Book">
    <w:panose1 w:val="020B05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F4834"/>
    <w:multiLevelType w:val="hybridMultilevel"/>
    <w:tmpl w:val="78CE08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5B765F"/>
    <w:multiLevelType w:val="hybridMultilevel"/>
    <w:tmpl w:val="E550E4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9690CDE"/>
    <w:multiLevelType w:val="hybridMultilevel"/>
    <w:tmpl w:val="AE5451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C673FEC"/>
    <w:multiLevelType w:val="multilevel"/>
    <w:tmpl w:val="1BD41C7E"/>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15:restartNumberingAfterBreak="0">
    <w:nsid w:val="1DEC2434"/>
    <w:multiLevelType w:val="hybridMultilevel"/>
    <w:tmpl w:val="147090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7886F8C"/>
    <w:multiLevelType w:val="multilevel"/>
    <w:tmpl w:val="297286F2"/>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56B05B24"/>
    <w:multiLevelType w:val="hybridMultilevel"/>
    <w:tmpl w:val="9594FB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8152F0A"/>
    <w:multiLevelType w:val="hybridMultilevel"/>
    <w:tmpl w:val="AB0088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26D21CC"/>
    <w:multiLevelType w:val="hybridMultilevel"/>
    <w:tmpl w:val="3A7C35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7"/>
  </w:num>
  <w:num w:numId="4">
    <w:abstractNumId w:val="6"/>
  </w:num>
  <w:num w:numId="5">
    <w:abstractNumId w:val="4"/>
  </w:num>
  <w:num w:numId="6">
    <w:abstractNumId w:val="1"/>
  </w:num>
  <w:num w:numId="7">
    <w:abstractNumId w:val="2"/>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B16"/>
    <w:rsid w:val="00065339"/>
    <w:rsid w:val="000956C5"/>
    <w:rsid w:val="000D0512"/>
    <w:rsid w:val="00126607"/>
    <w:rsid w:val="0019196F"/>
    <w:rsid w:val="001A2F7B"/>
    <w:rsid w:val="001B5BDE"/>
    <w:rsid w:val="001F03E8"/>
    <w:rsid w:val="0020020D"/>
    <w:rsid w:val="00220245"/>
    <w:rsid w:val="002432FD"/>
    <w:rsid w:val="00354F5E"/>
    <w:rsid w:val="004109CB"/>
    <w:rsid w:val="004B35E2"/>
    <w:rsid w:val="00554544"/>
    <w:rsid w:val="00632F90"/>
    <w:rsid w:val="00751B16"/>
    <w:rsid w:val="00804F4C"/>
    <w:rsid w:val="00854A63"/>
    <w:rsid w:val="00920CB5"/>
    <w:rsid w:val="00934FA3"/>
    <w:rsid w:val="0095799F"/>
    <w:rsid w:val="00A60A28"/>
    <w:rsid w:val="00AD7B6B"/>
    <w:rsid w:val="00BC409D"/>
    <w:rsid w:val="00C56471"/>
    <w:rsid w:val="00DC7B16"/>
    <w:rsid w:val="00DE2DDB"/>
    <w:rsid w:val="00E07EBB"/>
    <w:rsid w:val="00E53FAD"/>
    <w:rsid w:val="00EC2D1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F65657-F124-4C6D-B543-3DF6A1527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51B1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51B1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1B16"/>
    <w:pPr>
      <w:ind w:left="720"/>
      <w:contextualSpacing/>
    </w:pPr>
  </w:style>
  <w:style w:type="character" w:customStyle="1" w:styleId="Heading1Char">
    <w:name w:val="Heading 1 Char"/>
    <w:basedOn w:val="DefaultParagraphFont"/>
    <w:link w:val="Heading1"/>
    <w:uiPriority w:val="9"/>
    <w:rsid w:val="00751B16"/>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751B16"/>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BC40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F6559959.dotm</Template>
  <TotalTime>0</TotalTime>
  <Pages>6</Pages>
  <Words>752</Words>
  <Characters>4289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Orange City Council</Company>
  <LinksUpToDate>false</LinksUpToDate>
  <CharactersWithSpaces>5031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Mortell</dc:creator>
  <cp:keywords/>
  <dc:description/>
  <cp:lastModifiedBy>Wayne Garnsey</cp:lastModifiedBy>
  <cp:revision>2</cp:revision>
  <dcterms:created xsi:type="dcterms:W3CDTF">2019-07-30T05:15:00Z</dcterms:created>
  <dcterms:modified xsi:type="dcterms:W3CDTF">2019-07-30T05:15:00Z</dcterms:modified>
</cp:coreProperties>
</file>